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1A" w:rsidRDefault="00DE1D6A">
      <w:pPr>
        <w:spacing w:before="73"/>
        <w:ind w:left="570"/>
        <w:rPr>
          <w:b/>
          <w:sz w:val="32"/>
        </w:rPr>
      </w:pPr>
      <w:r>
        <w:rPr>
          <w:b/>
          <w:sz w:val="32"/>
        </w:rPr>
        <w:t>COMPANY’S PHILOSOPHY ON THE CODE OF GOVERNANCE</w:t>
      </w:r>
    </w:p>
    <w:p w:rsidR="00C96B1A" w:rsidRDefault="00DE1D6A">
      <w:pPr>
        <w:pStyle w:val="BodyText"/>
        <w:spacing w:before="263" w:line="276" w:lineRule="auto"/>
        <w:ind w:right="119"/>
      </w:pPr>
      <w:r>
        <w:t>The Company believes in transparency, empowerment, accountability and integrity in its operations duly delegated authority to various functional heads that are responsible for attaining the corporate plans with the ultimate purpose of enhancement of “Stake holder value”.</w:t>
      </w:r>
    </w:p>
    <w:p w:rsidR="00C96B1A" w:rsidRDefault="00DE1D6A">
      <w:pPr>
        <w:pStyle w:val="BodyText"/>
        <w:spacing w:line="276" w:lineRule="auto"/>
      </w:pPr>
      <w:r>
        <w:t>Moreover, the Company believes that sound Corporate Governance practices that provide an important platform to assist the management and the Board in delivering its responsibilities. The Company has always been taking the spirit of various legislations as guiding principles and has done well beyond simple statutory compliance. The Board of directors of the company has the responsibility of protecting the long term interests of all the stakeholders, while adhering to sound principles of corporate governance.</w:t>
      </w:r>
    </w:p>
    <w:p w:rsidR="00C96B1A" w:rsidRDefault="00DE1D6A">
      <w:pPr>
        <w:pStyle w:val="BodyText"/>
        <w:spacing w:before="200" w:line="273" w:lineRule="auto"/>
      </w:pPr>
      <w:r>
        <w:t>The Company has professionals on its Board of Directors who are actively involved in the deliberations of the Board on all important policy matters.</w:t>
      </w:r>
    </w:p>
    <w:p w:rsidR="00C96B1A" w:rsidRDefault="00DE1D6A">
      <w:pPr>
        <w:pStyle w:val="BodyText"/>
        <w:spacing w:before="203" w:line="276" w:lineRule="auto"/>
        <w:ind w:right="115"/>
      </w:pPr>
      <w:r>
        <w:t xml:space="preserve">The Company upholds the policy of having an optimum combination of Executive, Non- Executive and Independent Directors to ensure independent, transparent and professional conduct of Board Procedures in all aspects. The Chairman is an </w:t>
      </w:r>
      <w:r w:rsidRPr="00D300C0">
        <w:t>Executive Director and the number of Independent Non-executive directors is 50% o</w:t>
      </w:r>
      <w:bookmarkStart w:id="0" w:name="_GoBack"/>
      <w:r w:rsidRPr="00D300C0">
        <w:t>f</w:t>
      </w:r>
      <w:bookmarkEnd w:id="0"/>
      <w:r w:rsidRPr="00D300C0">
        <w:t xml:space="preserve"> the total Board strength.</w:t>
      </w:r>
    </w:p>
    <w:sectPr w:rsidR="00C96B1A">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96B1A"/>
    <w:rsid w:val="00C96B1A"/>
    <w:rsid w:val="00D300C0"/>
    <w:rsid w:val="00DE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8"/>
      <w:ind w:left="100" w:right="120"/>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sushma Reddy</cp:lastModifiedBy>
  <cp:revision>3</cp:revision>
  <dcterms:created xsi:type="dcterms:W3CDTF">2019-01-28T07:32:00Z</dcterms:created>
  <dcterms:modified xsi:type="dcterms:W3CDTF">2019-02-08T06:23:00Z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LastSaved">
    <vt:filetime>2015-11-02T00:00:00Z</vt:filetime>
  </property>
</Properties>
</file>